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58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Fahrzeuge des zentralisierten Fuhrparks für 2027 (Leasing)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